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135E2C">
              <w:t>12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E31966">
              <w:t>2</w:t>
            </w:r>
          </w:p>
        </w:tc>
        <w:tc>
          <w:tcPr>
            <w:tcW w:w="5880" w:type="dxa"/>
          </w:tcPr>
          <w:p w:rsidR="00AD45DE" w:rsidRDefault="00E31966">
            <w:r>
              <w:t>INDEPENDENT AND DEPENDENT VARIABLES IN TABLES AND GRAPHS</w:t>
            </w:r>
          </w:p>
        </w:tc>
      </w:tr>
    </w:tbl>
    <w:p w:rsidR="006B689C" w:rsidRDefault="006B689C" w:rsidP="004171AD">
      <w:pPr>
        <w:rPr>
          <w:sz w:val="32"/>
          <w:szCs w:val="32"/>
        </w:rPr>
      </w:pPr>
    </w:p>
    <w:tbl>
      <w:tblPr>
        <w:tblW w:w="0" w:type="auto"/>
        <w:tblInd w:w="120" w:type="dxa"/>
        <w:tblBorders>
          <w:left w:val="single" w:sz="24" w:space="0" w:color="auto"/>
          <w:bottom w:val="single" w:sz="2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88"/>
        <w:gridCol w:w="4572"/>
      </w:tblGrid>
      <w:tr w:rsidR="00E31966" w:rsidRPr="0003695A" w:rsidTr="005C19D9">
        <w:tc>
          <w:tcPr>
            <w:tcW w:w="9360" w:type="dxa"/>
            <w:gridSpan w:val="2"/>
            <w:shd w:val="clear" w:color="auto" w:fill="auto"/>
            <w:tcMar>
              <w:bottom w:w="0" w:type="dxa"/>
            </w:tcMar>
          </w:tcPr>
          <w:p w:rsidR="00E31966" w:rsidRDefault="00E31966" w:rsidP="005C19D9">
            <w:pPr>
              <w:pStyle w:val="Para"/>
              <w:spacing w:after="120"/>
              <w:rPr>
                <w:lang w:bidi="ar-SA"/>
              </w:rPr>
            </w:pPr>
            <w:r>
              <w:rPr>
                <w:lang w:bidi="ar-SA"/>
              </w:rPr>
              <w:t xml:space="preserve">In a table, the </w:t>
            </w:r>
            <w:r>
              <w:rPr>
                <w:i/>
                <w:lang w:bidi="ar-SA"/>
              </w:rPr>
              <w:t>independent variable</w:t>
            </w:r>
            <w:r>
              <w:rPr>
                <w:lang w:bidi="ar-SA"/>
              </w:rPr>
              <w:t xml:space="preserve"> is often represented by </w:t>
            </w:r>
            <w:r>
              <w:rPr>
                <w:i/>
                <w:lang w:bidi="ar-SA"/>
              </w:rPr>
              <w:t>x</w:t>
            </w:r>
            <w:r>
              <w:rPr>
                <w:lang w:bidi="ar-SA"/>
              </w:rPr>
              <w:t xml:space="preserve">. The </w:t>
            </w:r>
            <w:r>
              <w:rPr>
                <w:i/>
                <w:lang w:bidi="ar-SA"/>
              </w:rPr>
              <w:t>dependent variable</w:t>
            </w:r>
            <w:r>
              <w:rPr>
                <w:lang w:bidi="ar-SA"/>
              </w:rPr>
              <w:t xml:space="preserve"> is often represented by </w:t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>. Look at this example.</w:t>
            </w:r>
          </w:p>
          <w:tbl>
            <w:tblPr>
              <w:tblW w:w="5569" w:type="dxa"/>
              <w:tblInd w:w="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619"/>
              <w:gridCol w:w="619"/>
              <w:gridCol w:w="619"/>
              <w:gridCol w:w="618"/>
              <w:gridCol w:w="619"/>
              <w:gridCol w:w="619"/>
              <w:gridCol w:w="619"/>
              <w:gridCol w:w="619"/>
            </w:tblGrid>
            <w:tr w:rsidR="00E31966" w:rsidTr="005C19D9">
              <w:tc>
                <w:tcPr>
                  <w:tcW w:w="618" w:type="dxa"/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31966" w:rsidRPr="00E3469D" w:rsidRDefault="00E31966" w:rsidP="005C19D9">
                  <w:pPr>
                    <w:pStyle w:val="ParainColsNoSpc"/>
                    <w:jc w:val="center"/>
                    <w:rPr>
                      <w:rStyle w:val="EmphasisStrong"/>
                      <w:rFonts w:eastAsia="Times"/>
                      <w:i/>
                      <w:lang w:bidi="ar-SA"/>
                    </w:rPr>
                  </w:pPr>
                  <w:r w:rsidRPr="00E3469D">
                    <w:rPr>
                      <w:rStyle w:val="EmphasisStrong"/>
                      <w:rFonts w:eastAsia="Times"/>
                      <w:i/>
                      <w:lang w:bidi="ar-SA"/>
                    </w:rPr>
                    <w:t>x</w:t>
                  </w:r>
                </w:p>
              </w:tc>
              <w:tc>
                <w:tcPr>
                  <w:tcW w:w="61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0</w:t>
                  </w:r>
                </w:p>
              </w:tc>
              <w:tc>
                <w:tcPr>
                  <w:tcW w:w="619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1</w:t>
                  </w:r>
                </w:p>
              </w:tc>
              <w:tc>
                <w:tcPr>
                  <w:tcW w:w="619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2</w:t>
                  </w:r>
                </w:p>
              </w:tc>
              <w:tc>
                <w:tcPr>
                  <w:tcW w:w="618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3</w:t>
                  </w:r>
                </w:p>
              </w:tc>
              <w:tc>
                <w:tcPr>
                  <w:tcW w:w="619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4</w:t>
                  </w:r>
                </w:p>
              </w:tc>
              <w:tc>
                <w:tcPr>
                  <w:tcW w:w="61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5</w:t>
                  </w:r>
                </w:p>
              </w:tc>
              <w:tc>
                <w:tcPr>
                  <w:tcW w:w="61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6</w:t>
                  </w:r>
                </w:p>
              </w:tc>
              <w:tc>
                <w:tcPr>
                  <w:tcW w:w="619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7</w:t>
                  </w:r>
                </w:p>
              </w:tc>
            </w:tr>
            <w:tr w:rsidR="00E31966" w:rsidTr="005C19D9">
              <w:tc>
                <w:tcPr>
                  <w:tcW w:w="618" w:type="dxa"/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31966" w:rsidRPr="00E3469D" w:rsidRDefault="00E31966" w:rsidP="005C19D9">
                  <w:pPr>
                    <w:pStyle w:val="ParainColsNoSpc"/>
                    <w:jc w:val="center"/>
                    <w:rPr>
                      <w:rStyle w:val="EmphasisStrong"/>
                      <w:rFonts w:eastAsia="Times"/>
                      <w:i/>
                      <w:lang w:bidi="ar-SA"/>
                    </w:rPr>
                  </w:pPr>
                  <w:r w:rsidRPr="00E3469D">
                    <w:rPr>
                      <w:rStyle w:val="EmphasisStrong"/>
                      <w:rFonts w:eastAsia="Times"/>
                      <w:i/>
                      <w:lang w:bidi="ar-SA"/>
                    </w:rPr>
                    <w:t>y</w:t>
                  </w:r>
                </w:p>
              </w:tc>
              <w:tc>
                <w:tcPr>
                  <w:tcW w:w="61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4</w:t>
                  </w:r>
                </w:p>
              </w:tc>
              <w:tc>
                <w:tcPr>
                  <w:tcW w:w="619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5</w:t>
                  </w:r>
                </w:p>
              </w:tc>
              <w:tc>
                <w:tcPr>
                  <w:tcW w:w="619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6</w:t>
                  </w:r>
                </w:p>
              </w:tc>
              <w:tc>
                <w:tcPr>
                  <w:tcW w:w="618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7</w:t>
                  </w:r>
                </w:p>
              </w:tc>
              <w:tc>
                <w:tcPr>
                  <w:tcW w:w="619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8</w:t>
                  </w:r>
                </w:p>
              </w:tc>
              <w:tc>
                <w:tcPr>
                  <w:tcW w:w="61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9</w:t>
                  </w:r>
                </w:p>
              </w:tc>
              <w:tc>
                <w:tcPr>
                  <w:tcW w:w="61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10</w:t>
                  </w:r>
                </w:p>
              </w:tc>
              <w:tc>
                <w:tcPr>
                  <w:tcW w:w="619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31966" w:rsidRDefault="00E31966" w:rsidP="005C19D9">
                  <w:pPr>
                    <w:pStyle w:val="ParainColsNoSpc"/>
                    <w:jc w:val="center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>?</w:t>
                  </w:r>
                </w:p>
              </w:tc>
            </w:tr>
          </w:tbl>
          <w:p w:rsidR="00E31966" w:rsidRDefault="00E31966" w:rsidP="005C19D9">
            <w:pPr>
              <w:pStyle w:val="Para"/>
              <w:rPr>
                <w:lang w:bidi="ar-SA"/>
              </w:rPr>
            </w:pPr>
            <w:r>
              <w:rPr>
                <w:lang w:bidi="ar-SA"/>
              </w:rPr>
              <w:t xml:space="preserve">What </w:t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 xml:space="preserve"> value goes for the question mark?</w:t>
            </w:r>
          </w:p>
          <w:p w:rsidR="00E31966" w:rsidRDefault="00E31966" w:rsidP="005C19D9">
            <w:pPr>
              <w:pStyle w:val="Para"/>
              <w:rPr>
                <w:lang w:bidi="ar-SA"/>
              </w:rPr>
            </w:pPr>
            <w:r>
              <w:rPr>
                <w:b/>
                <w:lang w:bidi="ar-SA"/>
              </w:rPr>
              <w:t>Step 1</w:t>
            </w:r>
            <w:r>
              <w:rPr>
                <w:lang w:bidi="ar-SA"/>
              </w:rPr>
              <w:tab/>
              <w:t xml:space="preserve">Notice that 4 is added to each value of </w:t>
            </w:r>
            <w:r>
              <w:rPr>
                <w:i/>
                <w:lang w:bidi="ar-SA"/>
              </w:rPr>
              <w:t>x</w:t>
            </w:r>
            <w:r>
              <w:rPr>
                <w:lang w:bidi="ar-SA"/>
              </w:rPr>
              <w:t xml:space="preserve"> to give the </w:t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 xml:space="preserve"> value.</w:t>
            </w:r>
          </w:p>
          <w:p w:rsidR="00E31966" w:rsidRPr="0003695A" w:rsidRDefault="00E31966" w:rsidP="005C19D9">
            <w:pPr>
              <w:pStyle w:val="Para"/>
              <w:rPr>
                <w:rFonts w:ascii="Times New Roman" w:hAnsi="Times New Roman"/>
                <w:sz w:val="20"/>
                <w:lang w:bidi="ar-SA"/>
              </w:rPr>
            </w:pPr>
            <w:r>
              <w:rPr>
                <w:b/>
                <w:lang w:bidi="ar-SA"/>
              </w:rPr>
              <w:t>Step 2</w:t>
            </w:r>
            <w:r>
              <w:rPr>
                <w:lang w:bidi="ar-SA"/>
              </w:rPr>
              <w:tab/>
              <w:t xml:space="preserve">So, add 4 to 7. What does this give? 4 </w:t>
            </w:r>
            <w:r w:rsidRPr="00B436BB">
              <w:rPr>
                <w:rStyle w:val="EmphasisSymbol"/>
                <w:lang w:bidi="ar-SA"/>
              </w:rPr>
              <w:t></w:t>
            </w:r>
            <w:r>
              <w:rPr>
                <w:lang w:bidi="ar-SA"/>
              </w:rPr>
              <w:t xml:space="preserve"> 7 </w:t>
            </w:r>
            <w:r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11</w:t>
            </w:r>
          </w:p>
        </w:tc>
      </w:tr>
      <w:tr w:rsidR="00E31966" w:rsidRPr="00E702CA" w:rsidTr="005C19D9">
        <w:tc>
          <w:tcPr>
            <w:tcW w:w="4788" w:type="dxa"/>
            <w:shd w:val="clear" w:color="auto" w:fill="auto"/>
          </w:tcPr>
          <w:p w:rsidR="00E31966" w:rsidRDefault="00E31966" w:rsidP="005C19D9">
            <w:pPr>
              <w:pStyle w:val="Para"/>
              <w:rPr>
                <w:lang w:bidi="ar-SA"/>
              </w:rPr>
            </w:pPr>
            <w:r>
              <w:rPr>
                <w:lang w:bidi="ar-SA"/>
              </w:rPr>
              <w:t xml:space="preserve">On a chart or graph, </w:t>
            </w:r>
          </w:p>
          <w:p w:rsidR="00E31966" w:rsidRDefault="00E31966" w:rsidP="005C19D9">
            <w:pPr>
              <w:pStyle w:val="ListBulletinCols"/>
              <w:rPr>
                <w:lang w:bidi="ar-SA"/>
              </w:rPr>
            </w:pPr>
            <w:r>
              <w:rPr>
                <w:rFonts w:ascii="Symbol" w:hAnsi="Symbol" w:cs="Symbol"/>
                <w:sz w:val="24"/>
                <w:szCs w:val="24"/>
                <w:lang w:bidi="ar-SA"/>
              </w:rPr>
              <w:t></w:t>
            </w:r>
            <w:r>
              <w:rPr>
                <w:lang w:bidi="ar-SA"/>
              </w:rPr>
              <w:tab/>
              <w:t xml:space="preserve">the </w:t>
            </w:r>
            <w:r w:rsidRPr="00FE42B1">
              <w:rPr>
                <w:i/>
                <w:lang w:bidi="ar-SA"/>
              </w:rPr>
              <w:t>x</w:t>
            </w:r>
            <w:r>
              <w:rPr>
                <w:lang w:bidi="ar-SA"/>
              </w:rPr>
              <w:t xml:space="preserve">-axis is usually used for the </w:t>
            </w:r>
            <w:r>
              <w:rPr>
                <w:lang w:bidi="ar-SA"/>
              </w:rPr>
              <w:br/>
            </w:r>
            <w:r w:rsidRPr="00FE42B1">
              <w:rPr>
                <w:i/>
                <w:lang w:bidi="ar-SA"/>
              </w:rPr>
              <w:t>independent variable</w:t>
            </w:r>
            <w:r>
              <w:rPr>
                <w:lang w:bidi="ar-SA"/>
              </w:rPr>
              <w:t xml:space="preserve">, and </w:t>
            </w:r>
          </w:p>
          <w:p w:rsidR="00E31966" w:rsidRDefault="00E31966" w:rsidP="005C19D9">
            <w:pPr>
              <w:pStyle w:val="ListBulletinCols"/>
              <w:rPr>
                <w:lang w:bidi="ar-SA"/>
              </w:rPr>
            </w:pPr>
            <w:r>
              <w:rPr>
                <w:rFonts w:ascii="Symbol" w:hAnsi="Symbol" w:cs="Symbol"/>
                <w:sz w:val="24"/>
                <w:szCs w:val="24"/>
                <w:lang w:bidi="ar-SA"/>
              </w:rPr>
              <w:t></w:t>
            </w:r>
            <w:r>
              <w:rPr>
                <w:lang w:bidi="ar-SA"/>
              </w:rPr>
              <w:tab/>
              <w:t xml:space="preserve">the </w:t>
            </w:r>
            <w:r w:rsidRPr="00FE42B1">
              <w:rPr>
                <w:i/>
                <w:lang w:bidi="ar-SA"/>
              </w:rPr>
              <w:t>y</w:t>
            </w:r>
            <w:r>
              <w:rPr>
                <w:lang w:bidi="ar-SA"/>
              </w:rPr>
              <w:t xml:space="preserve">-axis is usually used for the </w:t>
            </w:r>
            <w:r>
              <w:rPr>
                <w:lang w:bidi="ar-SA"/>
              </w:rPr>
              <w:br/>
            </w:r>
            <w:r w:rsidRPr="007E4469">
              <w:rPr>
                <w:rStyle w:val="EmphasisMild"/>
              </w:rPr>
              <w:t>dependent variable</w:t>
            </w:r>
            <w:r>
              <w:rPr>
                <w:lang w:bidi="ar-SA"/>
              </w:rPr>
              <w:t>.</w:t>
            </w:r>
          </w:p>
          <w:p w:rsidR="00E31966" w:rsidRDefault="00E31966" w:rsidP="005C19D9">
            <w:pPr>
              <w:pStyle w:val="ParainCols"/>
              <w:rPr>
                <w:lang w:bidi="ar-SA"/>
              </w:rPr>
            </w:pPr>
            <w:r>
              <w:rPr>
                <w:lang w:bidi="ar-SA"/>
              </w:rPr>
              <w:t>Look at the example.</w:t>
            </w:r>
            <w:r>
              <w:rPr>
                <w:noProof/>
              </w:rPr>
              <w:drawing>
                <wp:inline distT="0" distB="0" distL="0" distR="0">
                  <wp:extent cx="525780" cy="114300"/>
                  <wp:effectExtent l="0" t="0" r="7620" b="0"/>
                  <wp:docPr id="22" name="Picture 22" descr="MSM15_AN_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SM15_AN_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966" w:rsidRDefault="00E31966" w:rsidP="005C19D9">
            <w:pPr>
              <w:pStyle w:val="ParainCols"/>
              <w:spacing w:before="240"/>
              <w:rPr>
                <w:lang w:bidi="ar-SA"/>
              </w:rPr>
            </w:pPr>
            <w:r>
              <w:rPr>
                <w:lang w:bidi="ar-SA"/>
              </w:rPr>
              <w:t xml:space="preserve">How does </w:t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 xml:space="preserve"> depend on </w:t>
            </w:r>
            <w:r>
              <w:rPr>
                <w:i/>
                <w:lang w:bidi="ar-SA"/>
              </w:rPr>
              <w:t>x</w:t>
            </w:r>
            <w:r>
              <w:rPr>
                <w:lang w:bidi="ar-SA"/>
              </w:rPr>
              <w:t>?</w:t>
            </w:r>
          </w:p>
          <w:p w:rsidR="00E31966" w:rsidRDefault="00E31966" w:rsidP="005C19D9">
            <w:pPr>
              <w:pStyle w:val="ParainCols"/>
              <w:tabs>
                <w:tab w:val="left" w:pos="960"/>
              </w:tabs>
              <w:rPr>
                <w:lang w:bidi="ar-SA"/>
              </w:rPr>
            </w:pPr>
            <w:r>
              <w:rPr>
                <w:b/>
                <w:lang w:bidi="ar-SA"/>
              </w:rPr>
              <w:t>Step 1</w:t>
            </w:r>
            <w:r>
              <w:rPr>
                <w:lang w:bidi="ar-SA"/>
              </w:rPr>
              <w:tab/>
              <w:t xml:space="preserve">Each value of </w:t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 xml:space="preserve"> is the opposite of </w:t>
            </w:r>
            <w:r>
              <w:rPr>
                <w:lang w:bidi="ar-SA"/>
              </w:rPr>
              <w:br/>
            </w:r>
            <w:r>
              <w:rPr>
                <w:lang w:bidi="ar-SA"/>
              </w:rPr>
              <w:tab/>
              <w:t xml:space="preserve">the value of </w:t>
            </w:r>
            <w:r>
              <w:rPr>
                <w:i/>
                <w:lang w:bidi="ar-SA"/>
              </w:rPr>
              <w:t>x</w:t>
            </w:r>
            <w:r>
              <w:rPr>
                <w:lang w:bidi="ar-SA"/>
              </w:rPr>
              <w:t>.</w:t>
            </w:r>
          </w:p>
          <w:p w:rsidR="00E31966" w:rsidRPr="00E702CA" w:rsidRDefault="00E31966" w:rsidP="005C19D9">
            <w:pPr>
              <w:pStyle w:val="ParainCols"/>
              <w:tabs>
                <w:tab w:val="left" w:pos="960"/>
              </w:tabs>
              <w:rPr>
                <w:lang w:bidi="ar-SA"/>
              </w:rPr>
            </w:pPr>
            <w:r>
              <w:rPr>
                <w:b/>
                <w:lang w:bidi="ar-SA"/>
              </w:rPr>
              <w:t>Step 2</w:t>
            </w:r>
            <w:r>
              <w:rPr>
                <w:lang w:bidi="ar-SA"/>
              </w:rPr>
              <w:tab/>
              <w:t>What equation shows this fact?</w:t>
            </w:r>
            <w:r>
              <w:rPr>
                <w:lang w:bidi="ar-SA"/>
              </w:rPr>
              <w:br/>
            </w:r>
            <w:r>
              <w:rPr>
                <w:lang w:bidi="ar-SA"/>
              </w:rPr>
              <w:tab/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 xml:space="preserve"> </w:t>
            </w:r>
            <w:r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</w:t>
            </w:r>
            <w:r>
              <w:rPr>
                <w:rStyle w:val="EmphasisSymbol"/>
                <w:lang w:bidi="ar-SA"/>
              </w:rPr>
              <w:t></w:t>
            </w:r>
            <w:r>
              <w:rPr>
                <w:i/>
                <w:lang w:bidi="ar-SA"/>
              </w:rPr>
              <w:t>x</w:t>
            </w:r>
          </w:p>
        </w:tc>
        <w:tc>
          <w:tcPr>
            <w:tcW w:w="4572" w:type="dxa"/>
            <w:shd w:val="clear" w:color="auto" w:fill="auto"/>
          </w:tcPr>
          <w:p w:rsidR="00E31966" w:rsidRPr="00E702CA" w:rsidRDefault="00E31966" w:rsidP="005C19D9">
            <w:pPr>
              <w:pStyle w:val="ListArabicinCols"/>
              <w:tabs>
                <w:tab w:val="clear" w:pos="320"/>
                <w:tab w:val="clear" w:pos="420"/>
              </w:tabs>
              <w:spacing w:before="240" w:line="240" w:lineRule="atLeast"/>
              <w:ind w:left="0" w:firstLine="0"/>
              <w:jc w:val="center"/>
              <w:rPr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64665" cy="1748155"/>
                      <wp:effectExtent l="0" t="0" r="0" b="0"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665" cy="174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966" w:rsidRPr="00E72479" w:rsidRDefault="00E31966" w:rsidP="00E3196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60220" cy="1744980"/>
                                        <wp:effectExtent l="0" t="0" r="0" b="7620"/>
                                        <wp:docPr id="23" name="Picture 23" descr="6_MTXEDI065642_438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9" descr="6_MTXEDI065642_438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0220" cy="1744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width:138.95pt;height:137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" stroked="f" strokeweight=".5pt">
                      <v:textbox style="mso-fit-shape-to-text:t" inset="0,0,0,0">
                        <w:txbxContent>
                          <w:p w:rsidR="00E31966" w:rsidRPr="00E72479" w:rsidRDefault="00E31966" w:rsidP="00E319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60220" cy="1744980"/>
                                  <wp:effectExtent l="0" t="0" r="0" b="7620"/>
                                  <wp:docPr id="23" name="Picture 23" descr="6_MTXEDI065642_438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6_MTXEDI065642_438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0220" cy="1744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32177B" w:rsidRPr="004171AD" w:rsidRDefault="0032177B" w:rsidP="00135E2C">
      <w:pPr>
        <w:rPr>
          <w:sz w:val="28"/>
          <w:szCs w:val="28"/>
        </w:rPr>
      </w:pPr>
      <w:bookmarkStart w:id="0" w:name="_GoBack"/>
      <w:bookmarkEnd w:id="0"/>
    </w:p>
    <w:sectPr w:rsidR="0032177B" w:rsidRPr="004171AD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5E2C"/>
    <w:rsid w:val="00136F7A"/>
    <w:rsid w:val="00161B4B"/>
    <w:rsid w:val="00167522"/>
    <w:rsid w:val="00180B56"/>
    <w:rsid w:val="001D45A4"/>
    <w:rsid w:val="001E6F88"/>
    <w:rsid w:val="00262D5C"/>
    <w:rsid w:val="00292547"/>
    <w:rsid w:val="00297044"/>
    <w:rsid w:val="002970E0"/>
    <w:rsid w:val="003039E9"/>
    <w:rsid w:val="00310F4B"/>
    <w:rsid w:val="0032177B"/>
    <w:rsid w:val="003332EA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714C90"/>
    <w:rsid w:val="0072297C"/>
    <w:rsid w:val="0073039F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2016-07-28T17:27:00Z</dcterms:created>
  <dcterms:modified xsi:type="dcterms:W3CDTF">2016-07-28T17:27:00Z</dcterms:modified>
</cp:coreProperties>
</file>